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Программа обучения официанта на 14 дней</w:t>
      </w:r>
    </w:p>
    <w:p>
      <w:pPr>
        <w:spacing w:after="200"/>
      </w:pPr>
      <w:r>
        <w:t>Шаблон помогает наставнику провести стажёра от вводного дня до теста и контрольной смены. Допуск зависит от подтверждённых навыков, а не только от срока обучения.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6746"/>
      </w:tblGrid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Стажёр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Наставник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Дата начала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Плановая дата проверки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pPr>
        <w:pStyle w:val="Heading1"/>
      </w:pPr>
      <w:r>
        <w:t>План по дням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737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День</w:t>
            </w:r>
          </w:p>
        </w:tc>
        <w:tc>
          <w:tcPr>
            <w:tcW w:type="dxa" w:w="2551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Тема</w:t>
            </w:r>
          </w:p>
        </w:tc>
        <w:tc>
          <w:tcPr>
            <w:tcW w:type="dxa" w:w="4082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Практическое задание</w:t>
            </w:r>
          </w:p>
        </w:tc>
        <w:tc>
          <w:tcPr>
            <w:tcW w:type="dxa" w:w="2268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Проверка наставника</w:t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1</w:t>
            </w:r>
          </w:p>
        </w:tc>
        <w:tc>
          <w:tcPr>
            <w:tcW w:type="dxa" w:w="255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Ориентация, безопасность, роли</w:t>
            </w: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Пройти маршрут сотрудника, найти выходы и зоны.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2</w:t>
            </w:r>
          </w:p>
        </w:tc>
        <w:tc>
          <w:tcPr>
            <w:tcW w:type="dxa" w:w="255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Станция и открытие смены</w:t>
            </w:r>
          </w:p>
        </w:tc>
        <w:tc>
          <w:tcPr>
            <w:tcW w:type="dxa" w:w="4082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Подготовить станцию по чек-листу.</w:t>
            </w:r>
          </w:p>
        </w:tc>
        <w:tc>
          <w:tcPr>
            <w:tcW w:type="dxa" w:w="226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3</w:t>
            </w:r>
          </w:p>
        </w:tc>
        <w:tc>
          <w:tcPr>
            <w:tcW w:type="dxa" w:w="255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Базовое меню</w:t>
            </w: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Описать 10 ключевых блюд и принять учебный заказ.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4</w:t>
            </w:r>
          </w:p>
        </w:tc>
        <w:tc>
          <w:tcPr>
            <w:tcW w:type="dxa" w:w="255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Состав и аллергены</w:t>
            </w:r>
          </w:p>
        </w:tc>
        <w:tc>
          <w:tcPr>
            <w:tcW w:type="dxa" w:w="4082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Найти подтверждённый состав пяти блюд.</w:t>
            </w:r>
          </w:p>
        </w:tc>
        <w:tc>
          <w:tcPr>
            <w:tcW w:type="dxa" w:w="226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5</w:t>
            </w:r>
          </w:p>
        </w:tc>
        <w:tc>
          <w:tcPr>
            <w:tcW w:type="dxa" w:w="255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POS и модификаторы</w:t>
            </w: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Создать, изменить и разделить учебный заказ.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6</w:t>
            </w:r>
          </w:p>
        </w:tc>
        <w:tc>
          <w:tcPr>
            <w:tcW w:type="dxa" w:w="255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Путь гостя</w:t>
            </w:r>
          </w:p>
        </w:tc>
        <w:tc>
          <w:tcPr>
            <w:tcW w:type="dxa" w:w="4082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Провести учебный стол от встречи до расчёта.</w:t>
            </w:r>
          </w:p>
        </w:tc>
        <w:tc>
          <w:tcPr>
            <w:tcW w:type="dxa" w:w="226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7</w:t>
            </w:r>
          </w:p>
        </w:tc>
        <w:tc>
          <w:tcPr>
            <w:tcW w:type="dxa" w:w="255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Участок под наблюдением</w:t>
            </w: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Вести ограниченное число столов с наставником.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8</w:t>
            </w:r>
          </w:p>
        </w:tc>
        <w:tc>
          <w:tcPr>
            <w:tcW w:type="dxa" w:w="255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Допродажи</w:t>
            </w:r>
          </w:p>
        </w:tc>
        <w:tc>
          <w:tcPr>
            <w:tcW w:type="dxa" w:w="4082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Подобрать дополнения к пяти типовым заказам.</w:t>
            </w:r>
          </w:p>
        </w:tc>
        <w:tc>
          <w:tcPr>
            <w:tcW w:type="dxa" w:w="226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9</w:t>
            </w:r>
          </w:p>
        </w:tc>
        <w:tc>
          <w:tcPr>
            <w:tcW w:type="dxa" w:w="255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Жалобы и задержки</w:t>
            </w: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Разобрать три ситуационных кейса.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10</w:t>
            </w:r>
          </w:p>
        </w:tc>
        <w:tc>
          <w:tcPr>
            <w:tcW w:type="dxa" w:w="255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Стоп-лист и передача кухни</w:t>
            </w:r>
          </w:p>
        </w:tc>
        <w:tc>
          <w:tcPr>
            <w:tcW w:type="dxa" w:w="4082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Провести предсменный брифинг.</w:t>
            </w:r>
          </w:p>
        </w:tc>
        <w:tc>
          <w:tcPr>
            <w:tcW w:type="dxa" w:w="226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11</w:t>
            </w:r>
          </w:p>
        </w:tc>
        <w:tc>
          <w:tcPr>
            <w:tcW w:type="dxa" w:w="255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Расчёт и кассовые действия</w:t>
            </w: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Закрыть учебные счета разными способами.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12</w:t>
            </w:r>
          </w:p>
        </w:tc>
        <w:tc>
          <w:tcPr>
            <w:tcW w:type="dxa" w:w="255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Самостоятельная работа</w:t>
            </w:r>
          </w:p>
        </w:tc>
        <w:tc>
          <w:tcPr>
            <w:tcW w:type="dxa" w:w="4082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Вести участок, наставник наблюдает по форме.</w:t>
            </w:r>
          </w:p>
        </w:tc>
        <w:tc>
          <w:tcPr>
            <w:tcW w:type="dxa" w:w="226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13</w:t>
            </w:r>
          </w:p>
        </w:tc>
        <w:tc>
          <w:tcPr>
            <w:tcW w:type="dxa" w:w="255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Повторение слабых тем</w:t>
            </w: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Исправить ошибки предыдущих дней.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  <w:tr>
        <w:tc>
          <w:tcPr>
            <w:tcW w:type="dxa" w:w="73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14</w:t>
            </w:r>
          </w:p>
        </w:tc>
        <w:tc>
          <w:tcPr>
            <w:tcW w:type="dxa" w:w="255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Тест и контрольная смена</w:t>
            </w:r>
          </w:p>
        </w:tc>
        <w:tc>
          <w:tcPr>
            <w:tcW w:type="dxa" w:w="4082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Пройти тест и полный цикл работы.</w:t>
            </w:r>
          </w:p>
        </w:tc>
        <w:tc>
          <w:tcPr>
            <w:tcW w:type="dxa" w:w="2268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6"/>
              </w:rPr>
              <w:t>☐ выполнено  ____</w:t>
            </w:r>
          </w:p>
        </w:tc>
      </w:tr>
    </w:tbl>
    <w:p/>
    <w:p>
      <w:pPr>
        <w:pStyle w:val="Heading1"/>
      </w:pPr>
      <w:r>
        <w:t>Карта навыков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6236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Навык</w:t>
            </w:r>
          </w:p>
        </w:tc>
        <w:tc>
          <w:tcPr>
            <w:tcW w:type="dxa" w:w="1701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Показал на практике</w:t>
            </w:r>
          </w:p>
        </w:tc>
        <w:tc>
          <w:tcPr>
            <w:tcW w:type="dxa" w:w="1701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Нужно повторить</w:t>
            </w:r>
          </w:p>
        </w:tc>
      </w:tr>
      <w:t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Открывает и закрывает станцию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Знает ключевые блюда и стоп-лист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Находит состав и сведения об аллергенах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Фиксирует модификаторы в POS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Повторяет заказ до отправки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Соблюдает последовательность подачи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Работает с задержкой и жалобой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Проводит корректный расчёт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  <w:t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  <w:t>Передаёт незавершённые задачи смене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  <w:t>☐</w:t>
            </w:r>
          </w:p>
        </w:tc>
      </w:tr>
    </w:tbl>
    <w:p/>
    <w:p>
      <w:pPr>
        <w:pStyle w:val="Heading1"/>
      </w:pPr>
      <w:r>
        <w:t>Итоговая проверка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6746"/>
      </w:tblGrid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Результат теста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 из 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Критические ошибки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Контрольная смена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☐ пройдена   ☐ требуется повтор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Решение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☐ допуск   ☐ допуск с ограничением   ☐ повторное обучение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Дата повторной проверки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Подпись наставника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  <w:shd w:fill="EAF0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Подпись стажёра</w:t>
            </w:r>
          </w:p>
        </w:tc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pPr>
        <w:pStyle w:val="Heading1"/>
      </w:pPr>
      <w:r>
        <w:t>План повторного обучения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1984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Тема</w:t>
            </w:r>
          </w:p>
        </w:tc>
        <w:tc>
          <w:tcPr>
            <w:tcW w:type="dxa" w:w="4535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Что изучить или отработать</w:t>
            </w:r>
          </w:p>
        </w:tc>
        <w:tc>
          <w:tcPr>
            <w:tcW w:type="dxa" w:w="1417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Срок</w:t>
            </w:r>
          </w:p>
        </w:tc>
        <w:tc>
          <w:tcPr>
            <w:tcW w:type="dxa" w:w="1701"/>
            <w:shd w:fill="17365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Проверяющий</w:t>
            </w:r>
          </w:p>
        </w:tc>
      </w:tr>
      <w:tr>
        <w:tc>
          <w:tcPr>
            <w:tcW w:type="dxa" w:w="19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45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</w:tr>
      <w:tr>
        <w:tc>
          <w:tcPr>
            <w:tcW w:type="dxa" w:w="1984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4535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141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</w:tr>
      <w:tr>
        <w:tc>
          <w:tcPr>
            <w:tcW w:type="dxa" w:w="19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45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14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</w:tr>
      <w:tr>
        <w:tc>
          <w:tcPr>
            <w:tcW w:type="dxa" w:w="1984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4535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1417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  <w:tc>
          <w:tcPr>
            <w:tcW w:type="dxa" w:w="1701"/>
            <w:shd w:fill="F7F9F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color w:val="000000"/>
                <w:sz w:val="17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95959"/>
        <w:sz w:val="16"/>
      </w:rPr>
      <w:t>CalcRest · программа обучения официанта · актуализировано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