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Стандарт обслуживания гостей ресторана</w:t>
      </w:r>
    </w:p>
    <w:p>
      <w:pPr>
        <w:spacing w:after="200"/>
      </w:pPr>
      <w:r>
        <w:t>Рабочий шаблон описывает путь гостя, действия сотрудников и способ контроля. Заполните поля и удалите примеры, которые не подходят вашему формату.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6746"/>
      </w:tblGrid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Организация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Версия и дата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Утвердил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Владелец документа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/>
    <w:p>
      <w:pPr>
        <w:pStyle w:val="Heading1"/>
      </w:pPr>
      <w:r>
        <w:t>Путь гостя и контрольные точки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blHeader w:val="true"/>
        </w:trPr>
        <w:tc>
          <w:tcPr>
            <w:tcW w:type="dxa" w:w="1417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Этап</w:t>
            </w:r>
          </w:p>
        </w:tc>
        <w:tc>
          <w:tcPr>
            <w:tcW w:type="dxa" w:w="4649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Стандарт действия</w:t>
            </w:r>
          </w:p>
        </w:tc>
        <w:tc>
          <w:tcPr>
            <w:tcW w:type="dxa" w:w="1417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Внутренний тайминг</w:t>
            </w:r>
          </w:p>
        </w:tc>
        <w:tc>
          <w:tcPr>
            <w:tcW w:type="dxa" w:w="2154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Контроль</w:t>
            </w:r>
          </w:p>
        </w:tc>
      </w:tr>
      <w:tr>
        <w:tc>
          <w:tcPr>
            <w:tcW w:type="dxa" w:w="141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Вход</w:t>
            </w:r>
          </w:p>
        </w:tc>
        <w:tc>
          <w:tcPr>
            <w:tcW w:type="dxa" w:w="464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Поприветствовать, уточнить бронь или количество гостей, сообщить о возможном ожидании.</w:t>
            </w:r>
          </w:p>
        </w:tc>
        <w:tc>
          <w:tcPr>
            <w:tcW w:type="dxa" w:w="141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_____ мин</w:t>
            </w:r>
          </w:p>
        </w:tc>
        <w:tc>
          <w:tcPr>
            <w:tcW w:type="dxa" w:w="2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Наблюдение менеджера</w:t>
            </w:r>
          </w:p>
        </w:tc>
      </w:tr>
      <w:tr>
        <w:tc>
          <w:tcPr>
            <w:tcW w:type="dxa" w:w="141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Посадка</w:t>
            </w:r>
          </w:p>
        </w:tc>
        <w:tc>
          <w:tcPr>
            <w:tcW w:type="dxa" w:w="4649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Предложить место, подать меню, передать стол официанту, обозначить актуальный стоп-лист.</w:t>
            </w:r>
          </w:p>
        </w:tc>
        <w:tc>
          <w:tcPr>
            <w:tcW w:type="dxa" w:w="141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_____ мин</w:t>
            </w:r>
          </w:p>
        </w:tc>
        <w:tc>
          <w:tcPr>
            <w:tcW w:type="dxa" w:w="2154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Чек-лист открытия</w:t>
            </w:r>
          </w:p>
        </w:tc>
      </w:tr>
      <w:tr>
        <w:tc>
          <w:tcPr>
            <w:tcW w:type="dxa" w:w="141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Заказ</w:t>
            </w:r>
          </w:p>
        </w:tc>
        <w:tc>
          <w:tcPr>
            <w:tcW w:type="dxa" w:w="464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Уточнить предпочтения, аллергены, модификаторы и порядок подачи. Повторить заказ.</w:t>
            </w:r>
          </w:p>
        </w:tc>
        <w:tc>
          <w:tcPr>
            <w:tcW w:type="dxa" w:w="141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_____ мин</w:t>
            </w:r>
          </w:p>
        </w:tc>
        <w:tc>
          <w:tcPr>
            <w:tcW w:type="dxa" w:w="2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Заказ в POS</w:t>
            </w:r>
          </w:p>
        </w:tc>
      </w:tr>
      <w:tr>
        <w:tc>
          <w:tcPr>
            <w:tcW w:type="dxa" w:w="141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Подача</w:t>
            </w:r>
          </w:p>
        </w:tc>
        <w:tc>
          <w:tcPr>
            <w:tcW w:type="dxa" w:w="4649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Проверить блюдо, модификаторы, комплектность, внешний вид и номер стола.</w:t>
            </w:r>
          </w:p>
        </w:tc>
        <w:tc>
          <w:tcPr>
            <w:tcW w:type="dxa" w:w="141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_____ мин</w:t>
            </w:r>
          </w:p>
        </w:tc>
        <w:tc>
          <w:tcPr>
            <w:tcW w:type="dxa" w:w="2154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Контроль выдачи</w:t>
            </w:r>
          </w:p>
        </w:tc>
      </w:tr>
      <w:tr>
        <w:tc>
          <w:tcPr>
            <w:tcW w:type="dxa" w:w="141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Обратная связь</w:t>
            </w:r>
          </w:p>
        </w:tc>
        <w:tc>
          <w:tcPr>
            <w:tcW w:type="dxa" w:w="464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Уточнить впечатление после начала еды и отреагировать по установленной процедуре.</w:t>
            </w:r>
          </w:p>
        </w:tc>
        <w:tc>
          <w:tcPr>
            <w:tcW w:type="dxa" w:w="141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_____ мин</w:t>
            </w:r>
          </w:p>
        </w:tc>
        <w:tc>
          <w:tcPr>
            <w:tcW w:type="dxa" w:w="2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Наблюдение менеджера</w:t>
            </w:r>
          </w:p>
        </w:tc>
      </w:tr>
      <w:tr>
        <w:tc>
          <w:tcPr>
            <w:tcW w:type="dxa" w:w="141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Расчёт</w:t>
            </w:r>
          </w:p>
        </w:tc>
        <w:tc>
          <w:tcPr>
            <w:tcW w:type="dxa" w:w="4649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Проверить позиции, скидки, способ оплаты и пожелание разделить счёт.</w:t>
            </w:r>
          </w:p>
        </w:tc>
        <w:tc>
          <w:tcPr>
            <w:tcW w:type="dxa" w:w="141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_____ мин</w:t>
            </w:r>
          </w:p>
        </w:tc>
        <w:tc>
          <w:tcPr>
            <w:tcW w:type="dxa" w:w="2154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Кассовый отчёт</w:t>
            </w:r>
          </w:p>
        </w:tc>
      </w:tr>
      <w:tr>
        <w:tc>
          <w:tcPr>
            <w:tcW w:type="dxa" w:w="141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Прощание</w:t>
            </w:r>
          </w:p>
        </w:tc>
        <w:tc>
          <w:tcPr>
            <w:tcW w:type="dxa" w:w="464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Поблагодарить, уточнить итоговое впечатление, пригласить снова.</w:t>
            </w:r>
          </w:p>
        </w:tc>
        <w:tc>
          <w:tcPr>
            <w:tcW w:type="dxa" w:w="141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_____ мин</w:t>
            </w:r>
          </w:p>
        </w:tc>
        <w:tc>
          <w:tcPr>
            <w:tcW w:type="dxa" w:w="21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Наблюдение менеджера</w:t>
            </w:r>
          </w:p>
        </w:tc>
      </w:tr>
    </w:tbl>
    <w:p/>
    <w:p>
      <w:pPr>
        <w:pStyle w:val="Heading1"/>
      </w:pPr>
      <w:r>
        <w:t>Роли в смене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1928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Роль</w:t>
            </w:r>
          </w:p>
        </w:tc>
        <w:tc>
          <w:tcPr>
            <w:tcW w:type="dxa" w:w="4876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Ответственность</w:t>
            </w:r>
          </w:p>
        </w:tc>
        <w:tc>
          <w:tcPr>
            <w:tcW w:type="dxa" w:w="2835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Когда подключается</w:t>
            </w:r>
          </w:p>
        </w:tc>
      </w:tr>
      <w:tr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Хостес или администратор</w:t>
            </w:r>
          </w:p>
        </w:tc>
        <w:tc>
          <w:tcPr>
            <w:tcW w:type="dxa" w:w="48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Встреча, очередь, бронь, посадка, передача информации.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Вход и ожидание</w:t>
            </w:r>
          </w:p>
        </w:tc>
      </w:tr>
      <w:tr>
        <w:tc>
          <w:tcPr>
            <w:tcW w:type="dxa" w:w="1928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Официант</w:t>
            </w:r>
          </w:p>
        </w:tc>
        <w:tc>
          <w:tcPr>
            <w:tcW w:type="dxa" w:w="4876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Заказ, информация по меню, подача, обратная связь, расчёт.</w:t>
            </w:r>
          </w:p>
        </w:tc>
        <w:tc>
          <w:tcPr>
            <w:tcW w:type="dxa" w:w="2835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Весь цикл стола</w:t>
            </w:r>
          </w:p>
        </w:tc>
      </w:tr>
      <w:tr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Менеджер</w:t>
            </w:r>
          </w:p>
        </w:tc>
        <w:tc>
          <w:tcPr>
            <w:tcW w:type="dxa" w:w="48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Исключения, жалобы, компенсации, контроль стандарта.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По правилам эскалации</w:t>
            </w:r>
          </w:p>
        </w:tc>
      </w:tr>
      <w:tr>
        <w:tc>
          <w:tcPr>
            <w:tcW w:type="dxa" w:w="1928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Кухня и бар</w:t>
            </w:r>
          </w:p>
        </w:tc>
        <w:tc>
          <w:tcPr>
            <w:tcW w:type="dxa" w:w="4876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Подтверждение состава, модификаторов, времени и выдачи.</w:t>
            </w:r>
          </w:p>
        </w:tc>
        <w:tc>
          <w:tcPr>
            <w:tcW w:type="dxa" w:w="2835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До отправки и на выдаче</w:t>
            </w:r>
          </w:p>
        </w:tc>
      </w:tr>
    </w:tbl>
    <w:p/>
    <w:p>
      <w:pPr>
        <w:pStyle w:val="Heading1"/>
      </w:pPr>
      <w:r>
        <w:t>Меню и аллергены</w:t>
      </w:r>
    </w:p>
    <w:p>
      <w:pPr>
        <w:ind w:left="170" w:hanging="170"/>
      </w:pPr>
      <w:r>
        <w:rPr>
          <w:b/>
        </w:rPr>
        <w:t xml:space="preserve">☐ </w:t>
      </w:r>
      <w:r>
        <w:t>Официант использует только актуальную версию меню и стоп-листа.</w:t>
      </w:r>
    </w:p>
    <w:p>
      <w:pPr>
        <w:ind w:left="170" w:hanging="170"/>
      </w:pPr>
      <w:r>
        <w:rPr>
          <w:b/>
        </w:rPr>
        <w:t xml:space="preserve">☐ </w:t>
      </w:r>
      <w:r>
        <w:t>При вопросе об аллергии сотрудник уточняет конкретный аллерген и не предполагает состав.</w:t>
      </w:r>
    </w:p>
    <w:p>
      <w:pPr>
        <w:ind w:left="170" w:hanging="170"/>
      </w:pPr>
      <w:r>
        <w:rPr>
          <w:b/>
        </w:rPr>
        <w:t xml:space="preserve">☐ </w:t>
      </w:r>
      <w:r>
        <w:t>Состав подтверждается по карте блюда или у назначенного ответственного сотрудника.</w:t>
      </w:r>
    </w:p>
    <w:p>
      <w:pPr>
        <w:ind w:left="170" w:hanging="170"/>
      </w:pPr>
      <w:r>
        <w:rPr>
          <w:b/>
        </w:rPr>
        <w:t xml:space="preserve">☐ </w:t>
      </w:r>
      <w:r>
        <w:t>Если перекрёстный контакт нельзя исключить, гостю не дают ложной гарантии.</w:t>
      </w:r>
    </w:p>
    <w:p>
      <w:pPr>
        <w:ind w:left="170" w:hanging="170"/>
      </w:pPr>
      <w:r>
        <w:rPr>
          <w:b/>
        </w:rPr>
        <w:t xml:space="preserve">☐ </w:t>
      </w:r>
      <w:r>
        <w:t>Все модификаторы фиксируются в POS и передаются кухне по принятой процедуре.</w:t>
      </w:r>
    </w:p>
    <w:p>
      <w:pPr>
        <w:pStyle w:val="Heading1"/>
      </w:pPr>
      <w:r>
        <w:t>Работа с жалобой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907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Шаг</w:t>
            </w:r>
          </w:p>
        </w:tc>
        <w:tc>
          <w:tcPr>
            <w:tcW w:type="dxa" w:w="6236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Действие</w:t>
            </w:r>
          </w:p>
        </w:tc>
        <w:tc>
          <w:tcPr>
            <w:tcW w:type="dxa" w:w="2494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Ответственный</w:t>
            </w:r>
          </w:p>
        </w:tc>
      </w:tr>
      <w:tr>
        <w:tc>
          <w:tcPr>
            <w:tcW w:type="dxa" w:w="90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1</w:t>
            </w:r>
          </w:p>
        </w:tc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Выслушать и уточнить факт без спора.</w:t>
            </w:r>
          </w:p>
        </w:tc>
        <w:tc>
          <w:tcPr>
            <w:tcW w:type="dxa" w:w="24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Официант</w:t>
            </w:r>
          </w:p>
        </w:tc>
      </w:tr>
      <w:tr>
        <w:tc>
          <w:tcPr>
            <w:tcW w:type="dxa" w:w="90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2</w:t>
            </w:r>
          </w:p>
        </w:tc>
        <w:tc>
          <w:tcPr>
            <w:tcW w:type="dxa" w:w="6236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Проверить заказ, статус и возможное решение.</w:t>
            </w:r>
          </w:p>
        </w:tc>
        <w:tc>
          <w:tcPr>
            <w:tcW w:type="dxa" w:w="2494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Официант / кухня</w:t>
            </w:r>
          </w:p>
        </w:tc>
      </w:tr>
      <w:tr>
        <w:tc>
          <w:tcPr>
            <w:tcW w:type="dxa" w:w="90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3</w:t>
            </w:r>
          </w:p>
        </w:tc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Подключить менеджера, если решение выходит за полномочия.</w:t>
            </w:r>
          </w:p>
        </w:tc>
        <w:tc>
          <w:tcPr>
            <w:tcW w:type="dxa" w:w="24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Менеджер</w:t>
            </w:r>
          </w:p>
        </w:tc>
      </w:tr>
      <w:tr>
        <w:tc>
          <w:tcPr>
            <w:tcW w:type="dxa" w:w="90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4</w:t>
            </w:r>
          </w:p>
        </w:tc>
        <w:tc>
          <w:tcPr>
            <w:tcW w:type="dxa" w:w="6236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Выполнить согласованное действие и проверить результат у гостя.</w:t>
            </w:r>
          </w:p>
        </w:tc>
        <w:tc>
          <w:tcPr>
            <w:tcW w:type="dxa" w:w="2494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Назначенный сотрудник</w:t>
            </w:r>
          </w:p>
        </w:tc>
      </w:tr>
      <w:tr>
        <w:tc>
          <w:tcPr>
            <w:tcW w:type="dxa" w:w="90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5</w:t>
            </w:r>
          </w:p>
        </w:tc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Зафиксировать повторяющуюся причину для разбора.</w:t>
            </w:r>
          </w:p>
        </w:tc>
        <w:tc>
          <w:tcPr>
            <w:tcW w:type="dxa" w:w="24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Менеджер</w:t>
            </w:r>
          </w:p>
        </w:tc>
      </w:tr>
    </w:tbl>
    <w:p/>
    <w:p>
      <w:pPr>
        <w:pStyle w:val="Heading1"/>
      </w:pPr>
      <w:r>
        <w:t>Открытие и закрытие станции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6236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1701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Открытие</w:t>
            </w:r>
          </w:p>
        </w:tc>
        <w:tc>
          <w:tcPr>
            <w:tcW w:type="dxa" w:w="1701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Закрытие</w:t>
            </w:r>
          </w:p>
        </w:tc>
      </w:tr>
      <w:t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Чистота и сервировка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  <w:tr>
        <w:tc>
          <w:tcPr>
            <w:tcW w:type="dxa" w:w="6236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Меню и стоп-лист</w:t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  <w:t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POS и оборудование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  <w:tr>
        <w:tc>
          <w:tcPr>
            <w:tcW w:type="dxa" w:w="6236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Расходные материалы</w:t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  <w:t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Незакрытые столы и задачи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  <w:tr>
        <w:tc>
          <w:tcPr>
            <w:tcW w:type="dxa" w:w="6236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Передача смены</w:t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</w:tbl>
    <w:p/>
    <w:p>
      <w:pPr>
        <w:pStyle w:val="Heading1"/>
      </w:pPr>
      <w:r>
        <w:t>Контроль и обновление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6746"/>
      </w:tblGrid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Форма наблюдения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Частота контроля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Проходной результат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Следующий пересмотр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/>
    <w:p>
      <w:pPr>
        <w:spacing w:after="200"/>
      </w:pPr>
      <w:r>
        <w:t>Шаблон является внутренним рабочим документом. Перед утверждением проверьте его соответствие формату заведения, обязательным требованиям и фактическим процессам.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95959"/>
        <w:sz w:val="16"/>
      </w:rPr>
      <w:t>CalcRest · шаблон стандарта обслуживания · актуализировано 20.09.2026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